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eastAsiaTheme="majorEastAsia"/>
          <w:sz w:val="36"/>
          <w:szCs w:val="36"/>
        </w:rPr>
      </w:pPr>
      <w:r>
        <w:rPr>
          <w:rFonts w:hint="eastAsia" w:ascii="Times New Roman" w:hAnsi="Times New Roman" w:cs="Times New Roman" w:eastAsiaTheme="majorEastAsia"/>
          <w:sz w:val="36"/>
          <w:szCs w:val="36"/>
        </w:rPr>
        <w:t>202</w:t>
      </w:r>
      <w:r>
        <w:rPr>
          <w:rFonts w:hint="eastAsia" w:ascii="Times New Roman" w:hAnsi="Times New Roman" w:cs="Times New Roman" w:eastAsiaTheme="majorEastAsia"/>
          <w:sz w:val="36"/>
          <w:szCs w:val="36"/>
          <w:lang w:val="en-US" w:eastAsia="zh-CN"/>
        </w:rPr>
        <w:t>2</w:t>
      </w:r>
      <w:r>
        <w:rPr>
          <w:rFonts w:hint="eastAsia" w:ascii="Times New Roman" w:hAnsi="Times New Roman" w:cs="Times New Roman" w:eastAsiaTheme="majorEastAsia"/>
          <w:sz w:val="36"/>
          <w:szCs w:val="36"/>
        </w:rPr>
        <w:t>年度</w:t>
      </w:r>
      <w:r>
        <w:rPr>
          <w:rFonts w:hint="eastAsia" w:ascii="Times New Roman" w:hAnsi="Times New Roman" w:cs="Times New Roman" w:eastAsiaTheme="majorEastAsia"/>
          <w:sz w:val="36"/>
          <w:szCs w:val="36"/>
          <w:lang w:eastAsia="zh-CN"/>
        </w:rPr>
        <w:t>汤湖公园维护管理经费项目</w:t>
      </w:r>
      <w:r>
        <w:rPr>
          <w:rFonts w:ascii="Times New Roman" w:hAnsi="Times New Roman" w:cs="Times New Roman" w:eastAsiaTheme="majorEastAsia"/>
          <w:sz w:val="36"/>
          <w:szCs w:val="36"/>
        </w:rPr>
        <w:t>自评结果</w:t>
      </w:r>
    </w:p>
    <w:p>
      <w:pPr>
        <w:pStyle w:val="8"/>
        <w:shd w:val="clear" w:color="auto" w:fill="FFFFFF" w:themeFill="background1"/>
        <w:spacing w:line="560" w:lineRule="exact"/>
        <w:ind w:firstLine="0" w:firstLineChars="0"/>
        <w:jc w:val="center"/>
        <w:outlineLvl w:val="9"/>
      </w:pPr>
      <w:r>
        <w:rPr>
          <w:rFonts w:hint="eastAsia" w:ascii="楷体" w:hAnsi="楷体" w:eastAsia="楷体" w:cs="楷体"/>
          <w:b/>
          <w:sz w:val="32"/>
        </w:rPr>
        <w:t>（缩略版）</w:t>
      </w:r>
    </w:p>
    <w:p>
      <w:pPr>
        <w:widowControl/>
        <w:spacing w:line="560" w:lineRule="exact"/>
        <w:ind w:firstLine="643" w:firstLineChars="200"/>
        <w:outlineLvl w:val="0"/>
        <w:rPr>
          <w:rFonts w:eastAsia="宋体"/>
          <w:b/>
          <w:bCs/>
          <w:color w:val="000000"/>
          <w:kern w:val="0"/>
          <w:sz w:val="32"/>
          <w:szCs w:val="32"/>
        </w:rPr>
      </w:pPr>
      <w:r>
        <w:rPr>
          <w:rFonts w:eastAsia="黑体"/>
          <w:b/>
          <w:bCs/>
          <w:color w:val="000000"/>
          <w:kern w:val="0"/>
          <w:sz w:val="32"/>
          <w:szCs w:val="32"/>
        </w:rPr>
        <w:t>一、自评结论</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（一）自评得分</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2022年度汤湖公园维护管理经费项目</w:t>
      </w:r>
      <w:r>
        <w:rPr>
          <w:rFonts w:hint="eastAsia" w:ascii="仿宋" w:hAnsi="仿宋" w:eastAsia="仿宋" w:cs="仿宋"/>
          <w:sz w:val="32"/>
          <w:szCs w:val="32"/>
        </w:rPr>
        <w:t>绩效评价综合得分为99.6分。</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（二）绩效目标完成情况</w:t>
      </w:r>
    </w:p>
    <w:p>
      <w:pPr>
        <w:widowControl/>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1.执行率情况。本项目预算总额570.69万元，执行数558.04 万元，预算执行率97.78%。</w:t>
      </w:r>
    </w:p>
    <w:p>
      <w:pPr>
        <w:widowControl/>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2.完成的绩效目标。项目共设置</w:t>
      </w:r>
      <w:r>
        <w:rPr>
          <w:rFonts w:hint="eastAsia" w:ascii="仿宋" w:hAnsi="仿宋" w:eastAsia="仿宋" w:cs="仿宋"/>
          <w:sz w:val="32"/>
          <w:szCs w:val="32"/>
          <w:lang w:val="en-US" w:eastAsia="zh-CN"/>
        </w:rPr>
        <w:t>14</w:t>
      </w:r>
      <w:r>
        <w:rPr>
          <w:rFonts w:hint="eastAsia" w:ascii="仿宋" w:hAnsi="仿宋" w:eastAsia="仿宋" w:cs="仿宋"/>
          <w:sz w:val="32"/>
          <w:szCs w:val="32"/>
          <w:lang w:eastAsia="zh-CN"/>
        </w:rPr>
        <w:t>个绩效指标，完成了</w:t>
      </w:r>
      <w:r>
        <w:rPr>
          <w:rFonts w:hint="eastAsia" w:ascii="仿宋" w:hAnsi="仿宋" w:eastAsia="仿宋" w:cs="仿宋"/>
          <w:sz w:val="32"/>
          <w:szCs w:val="32"/>
          <w:lang w:val="en-US" w:eastAsia="zh-CN"/>
        </w:rPr>
        <w:t>14</w:t>
      </w:r>
      <w:r>
        <w:rPr>
          <w:rFonts w:hint="eastAsia" w:ascii="仿宋" w:hAnsi="仿宋" w:eastAsia="仿宋" w:cs="仿宋"/>
          <w:sz w:val="32"/>
          <w:szCs w:val="32"/>
          <w:lang w:eastAsia="zh-CN"/>
        </w:rPr>
        <w:t>个。项目产出较好，并取得了较好的社会效益。</w:t>
      </w:r>
    </w:p>
    <w:p>
      <w:pPr>
        <w:widowControl/>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3.未完成的绩效目标。</w:t>
      </w:r>
      <w:r>
        <w:rPr>
          <w:rFonts w:hint="eastAsia" w:ascii="仿宋" w:hAnsi="仿宋" w:eastAsia="仿宋" w:cs="仿宋"/>
          <w:sz w:val="32"/>
          <w:szCs w:val="32"/>
          <w:lang w:val="en-US" w:eastAsia="zh-CN"/>
        </w:rPr>
        <w:t>无未完成的年初绩效目标</w:t>
      </w:r>
      <w:r>
        <w:rPr>
          <w:rFonts w:hint="eastAsia" w:ascii="仿宋" w:hAnsi="仿宋" w:eastAsia="仿宋" w:cs="仿宋"/>
          <w:sz w:val="32"/>
          <w:szCs w:val="32"/>
          <w:lang w:eastAsia="zh-CN"/>
        </w:rPr>
        <w:t>。</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（三）存在的问题和原因</w:t>
      </w:r>
    </w:p>
    <w:p>
      <w:pPr>
        <w:widowControl/>
        <w:spacing w:line="560" w:lineRule="exact"/>
        <w:ind w:firstLine="643" w:firstLineChars="200"/>
        <w:outlineLvl w:val="2"/>
        <w:rPr>
          <w:rFonts w:eastAsia="仿宋"/>
          <w:b/>
          <w:sz w:val="32"/>
          <w:szCs w:val="32"/>
        </w:rPr>
      </w:pPr>
      <w:r>
        <w:rPr>
          <w:rFonts w:eastAsia="仿宋"/>
          <w:b/>
          <w:sz w:val="32"/>
          <w:szCs w:val="32"/>
        </w:rPr>
        <w:t>1.上年度绩效评价结果应用情况</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本项目上年度实施了绩效自评并形成了项目自评表，</w:t>
      </w:r>
      <w:r>
        <w:rPr>
          <w:rFonts w:hint="eastAsia" w:ascii="仿宋" w:hAnsi="仿宋" w:eastAsia="仿宋" w:cs="仿宋"/>
          <w:sz w:val="32"/>
          <w:szCs w:val="32"/>
          <w:lang w:val="en-US" w:eastAsia="zh-CN"/>
        </w:rPr>
        <w:t>无需要应用的</w:t>
      </w:r>
      <w:r>
        <w:rPr>
          <w:rFonts w:hint="eastAsia" w:ascii="仿宋" w:hAnsi="仿宋" w:eastAsia="仿宋" w:cs="仿宋"/>
          <w:sz w:val="32"/>
          <w:szCs w:val="32"/>
          <w:lang w:eastAsia="zh-CN"/>
        </w:rPr>
        <w:t>上年度绩效自评结果。</w:t>
      </w:r>
    </w:p>
    <w:p>
      <w:pPr>
        <w:widowControl/>
        <w:spacing w:line="560" w:lineRule="exact"/>
        <w:ind w:firstLine="643" w:firstLineChars="200"/>
        <w:outlineLvl w:val="2"/>
        <w:rPr>
          <w:rFonts w:eastAsia="仿宋"/>
          <w:b/>
          <w:sz w:val="32"/>
          <w:szCs w:val="32"/>
        </w:rPr>
      </w:pPr>
      <w:r>
        <w:rPr>
          <w:rFonts w:eastAsia="仿宋"/>
          <w:b/>
          <w:sz w:val="32"/>
          <w:szCs w:val="32"/>
        </w:rPr>
        <w:t>2.本年度绩效存在的问题和原因</w:t>
      </w:r>
      <w:r>
        <w:rPr>
          <w:rFonts w:hint="eastAsia" w:eastAsia="仿宋"/>
          <w:b/>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绩效目标需进一步完善，主要原因为部分预算项目无对应产出目标，如“保安监察</w:t>
      </w:r>
      <w:r>
        <w:rPr>
          <w:rFonts w:hint="eastAsia" w:ascii="仿宋" w:hAnsi="仿宋" w:eastAsia="仿宋" w:cs="仿宋"/>
          <w:sz w:val="32"/>
          <w:szCs w:val="32"/>
          <w:lang w:val="en-US" w:eastAsia="zh-CN"/>
        </w:rPr>
        <w:t>”等工作。</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（四）下一步拟改进措施</w:t>
      </w:r>
    </w:p>
    <w:p>
      <w:pPr>
        <w:widowControl/>
        <w:spacing w:line="560" w:lineRule="exact"/>
        <w:ind w:firstLine="643" w:firstLineChars="200"/>
        <w:outlineLvl w:val="2"/>
        <w:rPr>
          <w:rFonts w:eastAsia="仿宋"/>
          <w:b/>
          <w:sz w:val="32"/>
          <w:szCs w:val="32"/>
        </w:rPr>
      </w:pPr>
      <w:r>
        <w:rPr>
          <w:rFonts w:eastAsia="仿宋"/>
          <w:b/>
          <w:sz w:val="32"/>
          <w:szCs w:val="32"/>
        </w:rPr>
        <w:t>1.下一步拟改进措施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紧贴年度工作计划和要点，制定科学合理的绩效目标和年度指标值。在项目实施过程中，对绩效指标实行动态管理，结合工作实际，及时更新调整绩效目标和指标，确保绩效指标与项目内容和资金规模合理匹配。结合项目实际合理设置增加设置“</w:t>
      </w:r>
      <w:r>
        <w:rPr>
          <w:rFonts w:hint="eastAsia" w:ascii="仿宋" w:hAnsi="仿宋" w:eastAsia="仿宋" w:cs="仿宋"/>
          <w:sz w:val="32"/>
          <w:szCs w:val="32"/>
          <w:lang w:val="en-US" w:eastAsia="zh-CN"/>
        </w:rPr>
        <w:t>资金使用合规性”</w:t>
      </w:r>
      <w:r>
        <w:rPr>
          <w:rFonts w:hint="eastAsia" w:ascii="仿宋" w:hAnsi="仿宋" w:eastAsia="仿宋" w:cs="仿宋"/>
          <w:sz w:val="32"/>
          <w:szCs w:val="32"/>
          <w:lang w:val="en-US" w:eastAsia="zh-CN"/>
        </w:rPr>
        <w:t>、“保安监察</w:t>
      </w:r>
      <w:r>
        <w:rPr>
          <w:rFonts w:hint="eastAsia" w:ascii="仿宋" w:hAnsi="仿宋" w:eastAsia="仿宋" w:cs="仿宋"/>
          <w:sz w:val="32"/>
          <w:szCs w:val="32"/>
          <w:lang w:val="en-US" w:eastAsia="zh-CN"/>
        </w:rPr>
        <w:t>考核达标率”、“全市园林行业管理考核中排名”</w:t>
      </w:r>
      <w:r>
        <w:rPr>
          <w:rFonts w:hint="eastAsia" w:ascii="仿宋" w:hAnsi="仿宋" w:eastAsia="仿宋" w:cs="仿宋"/>
          <w:sz w:val="32"/>
          <w:szCs w:val="32"/>
          <w:lang w:val="en-US" w:eastAsia="zh-CN"/>
        </w:rPr>
        <w:t>等质量指标，</w:t>
      </w:r>
      <w:r>
        <w:rPr>
          <w:rFonts w:hint="eastAsia" w:ascii="仿宋" w:hAnsi="仿宋" w:eastAsia="仿宋" w:cs="仿宋"/>
          <w:sz w:val="32"/>
          <w:szCs w:val="32"/>
          <w:lang w:val="en-US" w:eastAsia="zh-CN"/>
        </w:rPr>
        <w:t>“节日景观布置”完成次数等数量指标，更加全面地考核项目实施产出和效果。</w:t>
      </w:r>
    </w:p>
    <w:p>
      <w:pPr>
        <w:widowControl/>
        <w:spacing w:line="560" w:lineRule="exact"/>
        <w:ind w:firstLine="640" w:firstLineChars="200"/>
        <w:rPr>
          <w:rFonts w:eastAsia="楷体"/>
          <w:sz w:val="32"/>
          <w:szCs w:val="32"/>
        </w:rPr>
      </w:pPr>
      <w:r>
        <w:rPr>
          <w:rFonts w:eastAsia="楷体"/>
          <w:sz w:val="32"/>
          <w:szCs w:val="32"/>
        </w:rPr>
        <w:t>附件：</w:t>
      </w:r>
      <w:r>
        <w:rPr>
          <w:rFonts w:hint="eastAsia" w:eastAsia="楷体"/>
          <w:sz w:val="32"/>
          <w:szCs w:val="32"/>
          <w:lang w:eastAsia="zh-CN"/>
        </w:rPr>
        <w:t>2022年度汤湖公园维护管理经费项目</w:t>
      </w:r>
      <w:r>
        <w:rPr>
          <w:rFonts w:eastAsia="楷体"/>
          <w:sz w:val="32"/>
          <w:szCs w:val="32"/>
        </w:rPr>
        <w:t>自评表</w:t>
      </w:r>
    </w:p>
    <w:p>
      <w:pPr>
        <w:widowControl/>
        <w:spacing w:line="560" w:lineRule="exact"/>
        <w:ind w:firstLine="640" w:firstLineChars="200"/>
        <w:rPr>
          <w:rFonts w:eastAsia="楷体"/>
          <w:sz w:val="32"/>
          <w:szCs w:val="32"/>
        </w:rPr>
        <w:sectPr>
          <w:footerReference r:id="rId3" w:type="default"/>
          <w:pgSz w:w="11906" w:h="16838"/>
          <w:pgMar w:top="2098" w:right="1474" w:bottom="1984" w:left="1587" w:header="851" w:footer="992" w:gutter="0"/>
          <w:cols w:space="720" w:num="1"/>
          <w:docGrid w:type="lines" w:linePitch="312" w:charSpace="0"/>
        </w:sectPr>
      </w:pPr>
    </w:p>
    <w:p>
      <w:pPr>
        <w:pStyle w:val="2"/>
        <w:spacing w:after="0"/>
        <w:ind w:firstLine="643" w:firstLineChars="200"/>
        <w:rPr>
          <w:rFonts w:eastAsia="楷体"/>
          <w:b/>
          <w:bCs/>
        </w:rPr>
      </w:pPr>
      <w:r>
        <w:rPr>
          <w:rFonts w:hint="eastAsia" w:eastAsia="楷体"/>
          <w:b/>
          <w:bCs/>
          <w:color w:val="000000"/>
          <w:kern w:val="0"/>
          <w:sz w:val="32"/>
          <w:szCs w:val="32"/>
        </w:rPr>
        <w:t>附件：</w:t>
      </w:r>
    </w:p>
    <w:tbl>
      <w:tblPr>
        <w:tblStyle w:val="9"/>
        <w:tblW w:w="521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2"/>
        <w:gridCol w:w="979"/>
        <w:gridCol w:w="1072"/>
        <w:gridCol w:w="1829"/>
        <w:gridCol w:w="1671"/>
        <w:gridCol w:w="1440"/>
        <w:gridCol w:w="17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00" w:type="pct"/>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2022年度汤湖公园维护管理项目自评表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5000" w:type="pct"/>
            <w:gridSpan w:val="7"/>
            <w:tcBorders>
              <w:top w:val="nil"/>
              <w:left w:val="nil"/>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单位名称：武汉经济技术开发区（汉南区）住房和城乡建设局           填报日期：2023年4月20日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40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汤湖公园维护管理项目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主管部门</w:t>
            </w:r>
          </w:p>
        </w:tc>
        <w:tc>
          <w:tcPr>
            <w:tcW w:w="15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武汉经济技术开发区（汉南区）住房和城乡建设局</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项目实施单位</w:t>
            </w:r>
          </w:p>
        </w:tc>
        <w:tc>
          <w:tcPr>
            <w:tcW w:w="16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武汉市汤湖公园管理处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项目类别</w:t>
            </w:r>
          </w:p>
        </w:tc>
        <w:tc>
          <w:tcPr>
            <w:tcW w:w="40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Style w:val="22"/>
                <w:lang w:val="en-US" w:eastAsia="zh-CN" w:bidi="ar"/>
              </w:rPr>
              <w:t xml:space="preserve">1.部门预算项目    </w:t>
            </w:r>
            <w:r>
              <w:rPr>
                <w:rFonts w:ascii="Wingdings" w:hAnsi="Wingdings" w:eastAsia="仿宋" w:cs="Wingdings"/>
                <w:i w:val="0"/>
                <w:iCs w:val="0"/>
                <w:color w:val="000000"/>
                <w:kern w:val="0"/>
                <w:sz w:val="20"/>
                <w:szCs w:val="20"/>
                <w:u w:val="none"/>
                <w:lang w:val="en-US" w:eastAsia="zh-CN" w:bidi="ar"/>
              </w:rPr>
              <w:t>þ</w:t>
            </w:r>
            <w:r>
              <w:rPr>
                <w:rStyle w:val="23"/>
                <w:lang w:val="en-US" w:eastAsia="zh-CN" w:bidi="ar"/>
              </w:rPr>
              <w:t xml:space="preserve">         2.财政专项资金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项目属性</w:t>
            </w:r>
          </w:p>
        </w:tc>
        <w:tc>
          <w:tcPr>
            <w:tcW w:w="40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Style w:val="22"/>
                <w:lang w:val="en-US" w:eastAsia="zh-CN" w:bidi="ar"/>
              </w:rPr>
              <w:t xml:space="preserve">1.持续性项目      </w:t>
            </w:r>
            <w:r>
              <w:rPr>
                <w:rFonts w:ascii="Wingdings" w:hAnsi="Wingdings" w:eastAsia="仿宋" w:cs="Wingdings"/>
                <w:i w:val="0"/>
                <w:iCs w:val="0"/>
                <w:color w:val="000000"/>
                <w:kern w:val="0"/>
                <w:sz w:val="20"/>
                <w:szCs w:val="20"/>
                <w:u w:val="none"/>
                <w:lang w:val="en-US" w:eastAsia="zh-CN" w:bidi="ar"/>
              </w:rPr>
              <w:t>þ</w:t>
            </w:r>
            <w:r>
              <w:rPr>
                <w:rStyle w:val="23"/>
                <w:lang w:val="en-US" w:eastAsia="zh-CN" w:bidi="ar"/>
              </w:rPr>
              <w:t xml:space="preserve">         2.新增性项目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项目类型</w:t>
            </w:r>
          </w:p>
        </w:tc>
        <w:tc>
          <w:tcPr>
            <w:tcW w:w="40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Style w:val="22"/>
                <w:lang w:val="en-US" w:eastAsia="zh-CN" w:bidi="ar"/>
              </w:rPr>
              <w:t xml:space="preserve">1.常年性项目      </w:t>
            </w:r>
            <w:r>
              <w:rPr>
                <w:rFonts w:ascii="Wingdings" w:hAnsi="Wingdings" w:eastAsia="仿宋" w:cs="Wingdings"/>
                <w:i w:val="0"/>
                <w:iCs w:val="0"/>
                <w:color w:val="000000"/>
                <w:kern w:val="0"/>
                <w:sz w:val="20"/>
                <w:szCs w:val="20"/>
                <w:u w:val="none"/>
                <w:lang w:val="en-US" w:eastAsia="zh-CN" w:bidi="ar"/>
              </w:rPr>
              <w:t>þ</w:t>
            </w:r>
            <w:r>
              <w:rPr>
                <w:rStyle w:val="23"/>
                <w:lang w:val="en-US" w:eastAsia="zh-CN" w:bidi="ar"/>
              </w:rPr>
              <w:t xml:space="preserve">         2.延续性项目     □         3.一次性项目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预算执行情况</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（万元）</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（20分）</w:t>
            </w:r>
          </w:p>
        </w:tc>
        <w:tc>
          <w:tcPr>
            <w:tcW w:w="5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年度财政资金总额</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预算数（A）</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执行数（B）</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执行率(B/A)</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得分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(20分*执行率)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570.69 </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558.04 </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97.78%</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年度绩效目标</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指标</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二级指标</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指标名称</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年初目标值（A）</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实际完成值（B）</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产出指标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（44分）</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公园绿化养护面积</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30.6万平方米</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30.6万平方米</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节日景观布置完成率</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公园环境卫生覆盖面积</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16万平方米</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16万平方米</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绿化养护等级质量标准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一级标准</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一级标准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环境卫生考核达标率</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≧90%</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摆花造景验收通过率</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成本指标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绿化养护服务成本</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≦7.67元/平方米</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6.57元</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成本指标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公园环境卫生服务成本</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≦1.975元/平方米</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1.22元</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时效指标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养护及时率</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时效指标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按时完成景观布置</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在重大节日到来之前完成摆花造景</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及时</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时效指标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公园卫生清洁及时率</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效益指标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（24分）</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社会效益指标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（12分）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市民投诉</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0件</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0件</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社会效益指标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（12分）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营造节日气氛</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营造和谐、喜庆的节日气氛</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营造和谐、喜庆的节日气氛</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满意度指标（12分）</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服务对象满意度指标（12分）</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游园环境满意度</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总分</w:t>
            </w:r>
          </w:p>
        </w:tc>
        <w:tc>
          <w:tcPr>
            <w:tcW w:w="460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偏差大或目标未完成原因分析</w:t>
            </w:r>
          </w:p>
        </w:tc>
        <w:tc>
          <w:tcPr>
            <w:tcW w:w="77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00" w:firstLineChars="200"/>
              <w:jc w:val="lef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项目预算执行率较高，年初设定的绩效目标均得到实现，但绩效目标需进一步完善，主要原因为部分预算项目无对应产出目标，如“保安监察”等工作。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改进措施及结果应用方案</w:t>
            </w:r>
          </w:p>
        </w:tc>
        <w:tc>
          <w:tcPr>
            <w:tcW w:w="77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00" w:firstLineChars="20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紧贴年度工作计划和要点，制定科学合理的绩效目标和年度指标值。在项目实施过程中，对绩效指标实行动态管理，结合工作实际，及时更新调整绩效目标和指标，确保绩效指标与项目内容和资金规模合理匹配。结合项目实际合理设置增加设置“资金使用合规性”、“保安监察考核达标率”、“全市园林行业管理考核中排名”等质量指标，“节日景观布置”完成次数等数量指标，更加全面地考核项目实施产出和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注：</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1.预算执行情况口径：预算数为调整后财政资金总额（包括上年结转余额），执行数为资金使用单位财政资金实际支出数。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2.定量指标完成数汇总原则：绝对值直接累加计算，相对值按照资金额度加权平均计算。定量指标计分原则：正向指标（即目标值为＞X，得分=权重B/A）,反向指标（即目</w:t>
            </w:r>
            <w:r>
              <w:rPr>
                <w:rFonts w:hint="default" w:ascii="仿宋" w:hAnsi="仿宋" w:eastAsia="仿宋" w:cs="仿宋"/>
                <w:i w:val="0"/>
                <w:iCs w:val="0"/>
                <w:color w:val="000000"/>
                <w:kern w:val="0"/>
                <w:sz w:val="20"/>
                <w:szCs w:val="20"/>
                <w:u w:val="none"/>
                <w:lang w:val="en-US" w:eastAsia="zh-CN" w:bidi="ar"/>
              </w:rPr>
              <w:t>标值为≤X，</w:t>
            </w:r>
            <w:r>
              <w:rPr>
                <w:rFonts w:hint="eastAsia" w:ascii="仿宋" w:hAnsi="仿宋" w:eastAsia="仿宋" w:cs="仿宋"/>
                <w:i w:val="0"/>
                <w:iCs w:val="0"/>
                <w:color w:val="000000"/>
                <w:kern w:val="0"/>
                <w:sz w:val="20"/>
                <w:szCs w:val="20"/>
                <w:u w:val="none"/>
                <w:lang w:val="en-US" w:eastAsia="zh-CN" w:bidi="ar"/>
              </w:rPr>
              <w:t>得分=权重A/B）,得分不得突破权重总额。定量指标先汇总完成数，再计算得分。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3.定性指标计分原则：达成预期指标、部分达成预期指标并具有一定效果、未达成预期指标且</w:t>
            </w:r>
            <w:r>
              <w:rPr>
                <w:rStyle w:val="23"/>
                <w:lang w:val="en-US" w:eastAsia="zh-CN" w:bidi="ar"/>
              </w:rPr>
              <w:t>效果较差三档，分别按照该指标对应分值区间100-80（含80%）、80-50（50%）、50-0%合理确定分值。汇总时，以资金额度为权重，对分值进行加权平均计算。</w:t>
            </w:r>
            <w:r>
              <w:rPr>
                <w:rStyle w:val="23"/>
                <w:lang w:val="en-US" w:eastAsia="zh-CN" w:bidi="ar"/>
              </w:rPr>
              <w:br w:type="textWrapping"/>
            </w:r>
            <w:r>
              <w:rPr>
                <w:rStyle w:val="23"/>
                <w:lang w:val="en-US" w:eastAsia="zh-CN" w:bidi="ar"/>
              </w:rPr>
              <w:t>4.基于经济性和必要性等因素考虑，满意度指标暂可不作为必评指标。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5000" w:type="pct"/>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5000" w:type="pct"/>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0"/>
                <w:szCs w:val="20"/>
                <w:u w:val="none"/>
              </w:rPr>
            </w:pPr>
          </w:p>
        </w:tc>
      </w:tr>
    </w:tbl>
    <w:p>
      <w:pPr>
        <w:widowControl/>
        <w:spacing w:line="432" w:lineRule="atLeast"/>
        <w:jc w:val="center"/>
        <w:rPr>
          <w:rFonts w:eastAsia="黑体"/>
          <w:b/>
          <w:bCs/>
          <w:color w:val="000000"/>
          <w:kern w:val="0"/>
          <w:sz w:val="32"/>
          <w:szCs w:val="32"/>
        </w:rPr>
        <w:sectPr>
          <w:pgSz w:w="11906" w:h="16838"/>
          <w:pgMar w:top="2098" w:right="1474" w:bottom="1984" w:left="1587" w:header="851" w:footer="992" w:gutter="0"/>
          <w:cols w:space="720" w:num="1"/>
          <w:docGrid w:type="lines" w:linePitch="312" w:charSpace="0"/>
        </w:sectPr>
      </w:pPr>
      <w:r>
        <w:rPr>
          <w:rFonts w:eastAsia="仿宋"/>
          <w:color w:val="000000"/>
          <w:kern w:val="0"/>
          <w:sz w:val="32"/>
          <w:szCs w:val="32"/>
        </w:rPr>
        <w:t xml:space="preserve"> </w:t>
      </w:r>
    </w:p>
    <w:p>
      <w:pPr>
        <w:widowControl/>
        <w:spacing w:line="560" w:lineRule="exact"/>
        <w:ind w:firstLine="643" w:firstLineChars="200"/>
        <w:outlineLvl w:val="0"/>
        <w:rPr>
          <w:rFonts w:eastAsia="黑体"/>
          <w:b/>
          <w:bCs/>
          <w:color w:val="000000"/>
          <w:kern w:val="0"/>
          <w:sz w:val="32"/>
          <w:szCs w:val="32"/>
        </w:rPr>
      </w:pPr>
      <w:r>
        <w:rPr>
          <w:rFonts w:eastAsia="黑体"/>
          <w:b/>
          <w:bCs/>
          <w:color w:val="000000"/>
          <w:kern w:val="0"/>
          <w:sz w:val="32"/>
          <w:szCs w:val="32"/>
        </w:rPr>
        <w:t>二、佐证材料</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（一）基本情况</w:t>
      </w:r>
    </w:p>
    <w:p>
      <w:pPr>
        <w:widowControl/>
        <w:spacing w:line="560" w:lineRule="exact"/>
        <w:ind w:firstLine="643" w:firstLineChars="200"/>
        <w:outlineLvl w:val="2"/>
        <w:rPr>
          <w:rFonts w:eastAsia="仿宋"/>
          <w:b/>
          <w:sz w:val="32"/>
          <w:szCs w:val="32"/>
        </w:rPr>
      </w:pPr>
      <w:r>
        <w:rPr>
          <w:rFonts w:eastAsia="仿宋"/>
          <w:b/>
          <w:sz w:val="32"/>
          <w:szCs w:val="32"/>
        </w:rPr>
        <w:t>1.项目立项目的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预算资金主要用于汤湖公园维护管理，包括公园保安监察、公园绿化养护、节日上花、信息网络构建与维护、专用设备与材料购置、园林基础设施维护、公园环境卫生、公园植物移植更新等八个方面的内容。旨在提升公园景观效果，维护园区设施设备，提升市民满意度。</w:t>
      </w:r>
    </w:p>
    <w:p>
      <w:pPr>
        <w:widowControl/>
        <w:spacing w:line="560" w:lineRule="exact"/>
        <w:ind w:firstLine="643" w:firstLineChars="200"/>
        <w:outlineLvl w:val="2"/>
        <w:rPr>
          <w:rFonts w:eastAsia="仿宋"/>
          <w:b/>
          <w:sz w:val="32"/>
          <w:szCs w:val="32"/>
        </w:rPr>
      </w:pPr>
      <w:r>
        <w:rPr>
          <w:rFonts w:eastAsia="仿宋"/>
          <w:b/>
          <w:sz w:val="32"/>
          <w:szCs w:val="32"/>
        </w:rPr>
        <w:t>2.年度绩效目标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根据《关于批复武汉市汤湖公园管理处2022年预算的函》，本项目2022年度总目标为：公园绿化养护面积30.6万平方米，节日景观布置完成率100%，公园环境卫生覆盖面积</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16万平方米，绿化养护等级质量标准达到一级标准，环境卫生考核达标率</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≧90%，摆花造景验收通过率100%，绿化养护服务成本≦7.67元/平方米，公园环境卫生服务成本≦1.975元/平方米，养护及时率100%</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，按时完成景观布置，在重大节日到来之前完成摆花造景，公园卫生清洁及时率100%，市民投诉0件，营造和谐、喜庆的节日气氛，游园环境满意度≧80%。</w:t>
      </w:r>
    </w:p>
    <w:p>
      <w:pPr>
        <w:widowControl/>
        <w:spacing w:line="560" w:lineRule="exact"/>
        <w:ind w:firstLine="643" w:firstLineChars="200"/>
        <w:outlineLvl w:val="2"/>
        <w:rPr>
          <w:rFonts w:eastAsia="仿宋"/>
          <w:b/>
          <w:sz w:val="32"/>
          <w:szCs w:val="32"/>
        </w:rPr>
      </w:pPr>
      <w:r>
        <w:rPr>
          <w:rFonts w:eastAsia="仿宋"/>
          <w:b/>
          <w:sz w:val="32"/>
          <w:szCs w:val="32"/>
        </w:rPr>
        <w:t>3.项目资金情况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本项目2022年初批复预算资金570.69万元，用于汤湖公园维护管理，2022年本项目预算资金共计570.69万元。</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（二）部门自评工作开展情况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本次自评时间从2023年4月1日至2023年4月20日，历时20天。自评工作程序如下：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（1）制定工作方案</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部门自评工作方案由财务部门会同第三方机构共同研究制订。根据部门主要负责同志要求和武汉经济技术开发区（汉南区）财政局发布的</w:t>
      </w:r>
      <w:bookmarkStart w:id="0" w:name="_Hlk102643360"/>
      <w:r>
        <w:rPr>
          <w:rFonts w:hint="eastAsia" w:ascii="仿宋" w:hAnsi="仿宋" w:eastAsia="仿宋" w:cs="仿宋"/>
          <w:sz w:val="32"/>
          <w:szCs w:val="32"/>
          <w:lang w:val="en-US" w:eastAsia="zh-CN"/>
        </w:rPr>
        <w:t>《关于开展 2023年预算绩效评价及项目支出绩效运行监控的通知》（武经开〔2023〕10号）</w:t>
      </w:r>
      <w:bookmarkEnd w:id="0"/>
      <w:r>
        <w:rPr>
          <w:rFonts w:hint="eastAsia" w:ascii="仿宋" w:hAnsi="仿宋" w:eastAsia="仿宋" w:cs="仿宋"/>
          <w:sz w:val="32"/>
          <w:szCs w:val="32"/>
          <w:lang w:val="en-US" w:eastAsia="zh-CN"/>
        </w:rPr>
        <w:t>启动部门项目自评工作。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（2）组织实施自评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财务部门会同第三方机构及时成立工作组，通过调研访谈、电话访谈等方式收集、核实数据和信息，并对这些数据和信息进行整理分析。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（3）撰写部门自评项目结果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在整理分析基础上，形成部门项目自评结果。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（4）建立部门自评档案</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部门项目自评结果按时报送财政部门备案并及时归档备查。</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（三）绩效目标完成情况分析</w:t>
      </w:r>
    </w:p>
    <w:p>
      <w:pPr>
        <w:widowControl/>
        <w:spacing w:line="560" w:lineRule="exact"/>
        <w:ind w:firstLine="643" w:firstLineChars="200"/>
        <w:outlineLvl w:val="2"/>
        <w:rPr>
          <w:rFonts w:eastAsia="仿宋"/>
          <w:b/>
          <w:sz w:val="32"/>
          <w:szCs w:val="32"/>
        </w:rPr>
      </w:pPr>
      <w:r>
        <w:rPr>
          <w:rFonts w:eastAsia="仿宋"/>
          <w:b/>
          <w:sz w:val="32"/>
          <w:szCs w:val="32"/>
        </w:rPr>
        <w:t>1.预算执行情况分析（满分20分，得分</w:t>
      </w:r>
      <w:r>
        <w:rPr>
          <w:rFonts w:hint="eastAsia" w:eastAsia="仿宋"/>
          <w:b/>
          <w:sz w:val="32"/>
          <w:szCs w:val="32"/>
          <w:lang w:val="en-US" w:eastAsia="zh-CN"/>
        </w:rPr>
        <w:t>19.6</w:t>
      </w:r>
      <w:r>
        <w:rPr>
          <w:rFonts w:eastAsia="仿宋"/>
          <w:b/>
          <w:sz w:val="32"/>
          <w:szCs w:val="32"/>
        </w:rPr>
        <w:t>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本项目2022年实际到位资金570.69万元，资金到位率100%。实际支出资金558.04万元，预算执行率为97.78%，预算执行率较高。</w:t>
      </w:r>
    </w:p>
    <w:p>
      <w:pPr>
        <w:widowControl/>
        <w:spacing w:line="560" w:lineRule="exact"/>
        <w:ind w:firstLine="643" w:firstLineChars="200"/>
        <w:outlineLvl w:val="2"/>
        <w:rPr>
          <w:rFonts w:eastAsia="仿宋"/>
          <w:b/>
          <w:sz w:val="32"/>
          <w:szCs w:val="32"/>
        </w:rPr>
      </w:pPr>
      <w:r>
        <w:rPr>
          <w:rFonts w:eastAsia="仿宋"/>
          <w:b/>
          <w:sz w:val="32"/>
          <w:szCs w:val="32"/>
        </w:rPr>
        <w:t>2.绩效目标完成情况分析（满分80分，得分</w:t>
      </w:r>
      <w:r>
        <w:rPr>
          <w:rFonts w:hint="eastAsia" w:eastAsia="仿宋"/>
          <w:b/>
          <w:sz w:val="32"/>
          <w:szCs w:val="32"/>
          <w:lang w:val="en-US" w:eastAsia="zh-CN"/>
        </w:rPr>
        <w:t>80</w:t>
      </w:r>
      <w:r>
        <w:rPr>
          <w:rFonts w:eastAsia="仿宋"/>
          <w:b/>
          <w:sz w:val="32"/>
          <w:szCs w:val="32"/>
        </w:rPr>
        <w:t>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（1）产出指标完成情况分析（满分44分，得分44分）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①公园绿化养护面积：满分4分，得分4分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目标为公园绿化养护面积30.6万平方米。2022年汤湖公园管理处委托湖北力天生态景观有限公司对园区绿化进行养护管理，实际养护面积30.6万平方米，完成目标。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②节日景观布置完成率：满分4分，得分4分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节日景观布置完成率100%。2022年已完成“春季郁金香花卉项目”、“节日花卉布置项目”，充分酿造了四季有花、月月有景、花满汤湖的良好自然生态，吸引更多市民游客到汤湖公园游玩打卡。节日景观布置完成率100%，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③公园环境卫生覆盖面积：满分4分，得分4分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目标为公园环境卫生覆盖面积16万平方米。2022年汤湖公园管理处委托武汉立志高人力资源管理有限公司负责公园内的环境清扫和卫生保洁，实际覆盖面积16万平方米，完成目标。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④绿化养护等级质量标准：满分4分，得分4分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目标为绿化养护等级质量标准一级。2022年汤湖公园管理处委托湖北力天生态景观有限公司对园区绿化进行养护管理，严格</w:t>
      </w:r>
      <w:r>
        <w:rPr>
          <w:rFonts w:hint="eastAsia" w:ascii="仿宋" w:hAnsi="仿宋" w:eastAsia="仿宋" w:cs="仿宋"/>
          <w:sz w:val="32"/>
          <w:szCs w:val="32"/>
          <w:lang w:val="en-US" w:eastAsia="zh-CN"/>
        </w:rPr>
        <w:t>落实“两创一管”工作标准和细则，组织开展公园精细化养护，执行及考核标准均为“一级标准”，完成目标。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⑤环境卫生考核达标率：满分4分，得分4分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目标为环境卫生考核达标率≧90%。管理处每月对保洁人员进行考核，</w:t>
      </w:r>
      <w:r>
        <w:rPr>
          <w:rFonts w:hint="eastAsia" w:ascii="仿宋" w:hAnsi="仿宋" w:eastAsia="仿宋" w:cs="仿宋"/>
          <w:sz w:val="32"/>
          <w:szCs w:val="32"/>
          <w:lang w:val="en-US" w:eastAsia="zh-CN"/>
        </w:rPr>
        <w:t>坚持通过每日巡查，每周抽查，每月大检查，实行“地毯式”</w:t>
      </w:r>
      <w:r>
        <w:rPr>
          <w:rFonts w:hint="eastAsia" w:ascii="仿宋" w:hAnsi="仿宋" w:eastAsia="仿宋" w:cs="仿宋"/>
          <w:sz w:val="32"/>
          <w:szCs w:val="32"/>
          <w:lang w:val="en-US" w:eastAsia="zh-CN"/>
        </w:rPr>
        <w:t>排查日常园容卫生等管理维护工作，环境卫生考核达标率为100%，完成目标。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⑥摆花造景验收通过率：满分4分，得分4分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摆花造景验收通过率100%。2022年公园管理处和湖北力天生态景观有限公司分别签订《公园春季郁金香花卉项目花卉裁植协议书》、《公园节日花卉布置项目花卉裁植协议书》，均通过项目验收结果，摆花造景验收通过率100%，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⑦</w:t>
      </w:r>
      <w:r>
        <w:rPr>
          <w:rFonts w:hint="default" w:ascii="仿宋" w:hAnsi="仿宋" w:eastAsia="仿宋" w:cs="仿宋"/>
          <w:sz w:val="32"/>
          <w:szCs w:val="32"/>
          <w:lang w:val="en-US" w:eastAsia="zh-CN"/>
        </w:rPr>
        <w:t>绿化养护服务成本</w:t>
      </w:r>
      <w:r>
        <w:rPr>
          <w:rFonts w:hint="eastAsia" w:ascii="仿宋" w:hAnsi="仿宋" w:eastAsia="仿宋" w:cs="仿宋"/>
          <w:sz w:val="32"/>
          <w:szCs w:val="32"/>
          <w:lang w:val="en-US" w:eastAsia="zh-CN"/>
        </w:rPr>
        <w:t>：满分4分，得分4分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w:t>
      </w:r>
      <w:r>
        <w:rPr>
          <w:rFonts w:hint="default" w:ascii="仿宋" w:hAnsi="仿宋" w:eastAsia="仿宋" w:cs="仿宋"/>
          <w:sz w:val="32"/>
          <w:szCs w:val="32"/>
          <w:lang w:val="en-US" w:eastAsia="zh-CN"/>
        </w:rPr>
        <w:t>绿化养护服务成本≦7.67元/平方米</w:t>
      </w:r>
      <w:r>
        <w:rPr>
          <w:rFonts w:hint="eastAsia" w:ascii="仿宋" w:hAnsi="仿宋" w:eastAsia="仿宋" w:cs="仿宋"/>
          <w:sz w:val="32"/>
          <w:szCs w:val="32"/>
          <w:lang w:val="en-US" w:eastAsia="zh-CN"/>
        </w:rPr>
        <w:t>。公园管理处与湖北力天生态景观有限公司</w:t>
      </w:r>
      <w:r>
        <w:rPr>
          <w:rFonts w:hint="default" w:ascii="仿宋" w:hAnsi="仿宋" w:eastAsia="仿宋" w:cs="仿宋"/>
          <w:sz w:val="32"/>
          <w:szCs w:val="32"/>
          <w:lang w:val="en-US" w:eastAsia="zh-CN"/>
        </w:rPr>
        <w:t>绿化养护服务</w:t>
      </w:r>
      <w:r>
        <w:rPr>
          <w:rFonts w:hint="eastAsia" w:ascii="仿宋" w:hAnsi="仿宋" w:eastAsia="仿宋" w:cs="仿宋"/>
          <w:sz w:val="32"/>
          <w:szCs w:val="32"/>
          <w:lang w:val="en-US" w:eastAsia="zh-CN"/>
        </w:rPr>
        <w:t>结算金额为201.18万元，结算单价6.57元</w:t>
      </w:r>
      <w:r>
        <w:rPr>
          <w:rFonts w:hint="default" w:ascii="仿宋" w:hAnsi="仿宋" w:eastAsia="仿宋" w:cs="仿宋"/>
          <w:sz w:val="32"/>
          <w:szCs w:val="32"/>
          <w:lang w:val="en-US" w:eastAsia="zh-CN"/>
        </w:rPr>
        <w:t>/平方米</w:t>
      </w:r>
      <w:r>
        <w:rPr>
          <w:rFonts w:hint="eastAsia" w:ascii="仿宋" w:hAnsi="仿宋" w:eastAsia="仿宋" w:cs="仿宋"/>
          <w:sz w:val="32"/>
          <w:szCs w:val="32"/>
          <w:lang w:val="en-US" w:eastAsia="zh-CN"/>
        </w:rPr>
        <w:t>，小于</w:t>
      </w:r>
      <w:r>
        <w:rPr>
          <w:rFonts w:hint="default" w:ascii="仿宋" w:hAnsi="仿宋" w:eastAsia="仿宋" w:cs="仿宋"/>
          <w:sz w:val="32"/>
          <w:szCs w:val="32"/>
          <w:lang w:val="en-US" w:eastAsia="zh-CN"/>
        </w:rPr>
        <w:t>7.67元/平方米</w:t>
      </w:r>
      <w:r>
        <w:rPr>
          <w:rFonts w:hint="eastAsia" w:ascii="仿宋" w:hAnsi="仿宋" w:eastAsia="仿宋" w:cs="仿宋"/>
          <w:sz w:val="32"/>
          <w:szCs w:val="32"/>
          <w:lang w:val="en-US" w:eastAsia="zh-CN"/>
        </w:rPr>
        <w:t>，完成目标。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⑧公园环境卫生服务成本：满分4分，得分4分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目标为公园环境卫生服务成本≦1.975元/平方米。公园管理处与武汉立志高人力资源管理有限公司环境卫生服务结算金额为19.49万元，结算单价1.22元</w:t>
      </w:r>
      <w:r>
        <w:rPr>
          <w:rFonts w:hint="default" w:ascii="仿宋" w:hAnsi="仿宋" w:eastAsia="仿宋" w:cs="仿宋"/>
          <w:sz w:val="32"/>
          <w:szCs w:val="32"/>
          <w:lang w:val="en-US" w:eastAsia="zh-CN"/>
        </w:rPr>
        <w:t>/平方米</w:t>
      </w:r>
      <w:r>
        <w:rPr>
          <w:rFonts w:hint="eastAsia" w:ascii="仿宋" w:hAnsi="仿宋" w:eastAsia="仿宋" w:cs="仿宋"/>
          <w:sz w:val="32"/>
          <w:szCs w:val="32"/>
          <w:lang w:val="en-US" w:eastAsia="zh-CN"/>
        </w:rPr>
        <w:t>，小于1.975</w:t>
      </w:r>
      <w:r>
        <w:rPr>
          <w:rFonts w:hint="default" w:ascii="仿宋" w:hAnsi="仿宋" w:eastAsia="仿宋" w:cs="仿宋"/>
          <w:sz w:val="32"/>
          <w:szCs w:val="32"/>
          <w:lang w:val="en-US" w:eastAsia="zh-CN"/>
        </w:rPr>
        <w:t>元/平方米</w:t>
      </w:r>
      <w:r>
        <w:rPr>
          <w:rFonts w:hint="eastAsia" w:ascii="仿宋" w:hAnsi="仿宋" w:eastAsia="仿宋" w:cs="仿宋"/>
          <w:sz w:val="32"/>
          <w:szCs w:val="32"/>
          <w:lang w:val="en-US" w:eastAsia="zh-CN"/>
        </w:rPr>
        <w:t>，完成目标。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⑨养护及时率：满分4分，得分4分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目标为养护及时率100%。</w:t>
      </w:r>
      <w:r>
        <w:rPr>
          <w:rFonts w:hint="eastAsia" w:ascii="仿宋" w:hAnsi="仿宋" w:eastAsia="仿宋" w:cs="仿宋"/>
          <w:sz w:val="32"/>
          <w:szCs w:val="32"/>
          <w:lang w:val="en-US" w:eastAsia="zh-CN"/>
        </w:rPr>
        <w:t>通过及时对公园内部树木调整补栽，合理布局公园植物，提升了公园园林景观。根据公园管理处考核，绿化养护及时率100%，完成目标。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⑩按时完成景观布置：满分4分，得分4分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目标为在重大节日到来之前完成摆花造景。根据公园管理处验收结果，景观布置及时，完成目标。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⑪公园卫生清洁及时率：满分4分，得分4分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目标为公园卫生清洁及时率100%。公园管理处</w:t>
      </w:r>
      <w:r>
        <w:rPr>
          <w:rFonts w:hint="eastAsia" w:ascii="仿宋" w:hAnsi="仿宋" w:eastAsia="仿宋" w:cs="仿宋"/>
          <w:sz w:val="32"/>
          <w:szCs w:val="32"/>
          <w:lang w:val="en-US" w:eastAsia="zh-CN"/>
        </w:rPr>
        <w:t>每月组织开展针对公园环境“六乱”专项治理工作，每季度开展“除四害”专项行动4次，</w:t>
      </w:r>
      <w:r>
        <w:rPr>
          <w:rFonts w:hint="eastAsia" w:ascii="仿宋" w:hAnsi="仿宋" w:eastAsia="仿宋" w:cs="仿宋"/>
          <w:sz w:val="32"/>
          <w:szCs w:val="32"/>
          <w:lang w:val="en-US" w:eastAsia="zh-CN"/>
        </w:rPr>
        <w:t>病媒防治投放鼠药48公斤，夏季灭蚊蝇112次。疫情期间对公共区域进行消杀，每日消杀面积约2300㎡。根据公园管理处考核结果，卫生清洁及时率100%，完成目标。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（2）效益指标完成情况分析（满分24分，得分24分）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①市民投诉：满分12分，得分12分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目标为市民投诉0件。2022年汤湖公园在全市园林行业管理考核中排名全市前列，在参与全市城管委“双一百”示范片区考核评比中，排名靠前完成目标。2022年公园未接到市民投诉，</w:t>
      </w:r>
      <w:bookmarkStart w:id="1" w:name="_GoBack"/>
      <w:r>
        <w:rPr>
          <w:rFonts w:hint="eastAsia" w:ascii="仿宋" w:hAnsi="仿宋" w:eastAsia="仿宋" w:cs="仿宋"/>
          <w:sz w:val="32"/>
          <w:szCs w:val="32"/>
          <w:lang w:val="en-US" w:eastAsia="zh-CN"/>
        </w:rPr>
        <w:t>完成目标。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②营造节日气氛：满分12分，得分12分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目标为营造和谐、喜庆的节日气氛。公园</w:t>
      </w:r>
      <w:r>
        <w:rPr>
          <w:rFonts w:hint="eastAsia" w:ascii="仿宋" w:hAnsi="仿宋" w:eastAsia="仿宋" w:cs="仿宋"/>
          <w:sz w:val="32"/>
          <w:szCs w:val="32"/>
          <w:lang w:val="en-US" w:eastAsia="zh-CN"/>
        </w:rPr>
        <w:t>引进了7个优质品种的绣球八仙花1000余株；在公园内首次试验引进并推广观赏向日葵、百日草、波斯菊、硫华菊等近1万㎡的野花组合花田花坡；坚持冬春季节种植近3000㎡，15万株郁金香。公园节日气氛和谐、喜庆，完成目标。</w:t>
      </w:r>
    </w:p>
    <w:bookmarkEnd w:id="1"/>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（3）满意度指标完成情况分析（满分12分，得分12分）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①游园环境满意度：满分12分，得分12分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目标为群众满意度85%。公园2022年度在市、区二级文明指数测评检查考核中，汤湖公园连续多次获得满分的成绩。满意度调查均为好评，群众满意度100%，完成目标。</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（四）上年度部门自评结果应用情况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本项目上年度实施了绩效自评并形成了项目自评表，但无需要应用的上年度绩效自评结果。</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（五）其他佐证材料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pPr>
    </w:p>
    <w:p>
      <w:pPr>
        <w:pStyle w:val="2"/>
      </w:pPr>
    </w:p>
    <w:p>
      <w:pPr>
        <w:widowControl/>
        <w:spacing w:line="500" w:lineRule="exact"/>
        <w:ind w:firstLine="480" w:firstLineChars="200"/>
        <w:rPr>
          <w:rFonts w:hint="eastAsia" w:eastAsia="宋体"/>
          <w:sz w:val="32"/>
          <w:szCs w:val="32"/>
          <w:lang w:eastAsia="zh-CN"/>
        </w:rPr>
      </w:pPr>
      <w:r>
        <w:rPr>
          <w:rFonts w:eastAsia="宋体"/>
          <w:color w:val="000000"/>
          <w:kern w:val="0"/>
          <w:sz w:val="24"/>
        </w:rPr>
        <w:t xml:space="preserve">    </w:t>
      </w:r>
      <w:r>
        <w:rPr>
          <w:rFonts w:hint="eastAsia" w:eastAsia="宋体"/>
          <w:color w:val="000000"/>
          <w:kern w:val="0"/>
          <w:sz w:val="24"/>
        </w:rPr>
        <w:t xml:space="preserve">    </w:t>
      </w:r>
      <w:r>
        <w:rPr>
          <w:rFonts w:eastAsia="宋体"/>
          <w:color w:val="000000"/>
          <w:kern w:val="0"/>
          <w:sz w:val="24"/>
        </w:rPr>
        <w:t xml:space="preserve"> </w:t>
      </w:r>
      <w:r>
        <w:rPr>
          <w:rFonts w:hint="eastAsia" w:eastAsia="仿宋"/>
          <w:sz w:val="32"/>
          <w:szCs w:val="32"/>
          <w:lang w:eastAsia="zh-CN"/>
        </w:rPr>
        <w:t>武汉经济技术开发区（汉南区）住房和城乡建设局</w:t>
      </w:r>
    </w:p>
    <w:p>
      <w:pPr>
        <w:widowControl/>
        <w:spacing w:line="500" w:lineRule="exact"/>
        <w:ind w:firstLine="640" w:firstLineChars="200"/>
        <w:rPr>
          <w:rFonts w:eastAsia="宋体"/>
          <w:color w:val="000000"/>
          <w:kern w:val="0"/>
          <w:sz w:val="24"/>
        </w:rPr>
      </w:pPr>
      <w:r>
        <w:rPr>
          <w:rFonts w:hint="eastAsia" w:eastAsia="仿宋"/>
          <w:sz w:val="32"/>
          <w:szCs w:val="32"/>
        </w:rPr>
        <w:t xml:space="preserve">                    </w:t>
      </w:r>
      <w:r>
        <w:rPr>
          <w:rFonts w:hint="eastAsia" w:eastAsia="宋体"/>
          <w:color w:val="000000"/>
          <w:kern w:val="0"/>
          <w:sz w:val="24"/>
        </w:rPr>
        <w:t xml:space="preserve">    </w:t>
      </w:r>
      <w:r>
        <w:rPr>
          <w:rFonts w:eastAsia="宋体"/>
          <w:color w:val="000000"/>
          <w:kern w:val="0"/>
          <w:sz w:val="24"/>
        </w:rPr>
        <w:t xml:space="preserve">            </w:t>
      </w:r>
      <w:r>
        <w:rPr>
          <w:rFonts w:hint="eastAsia" w:eastAsia="仿宋"/>
          <w:sz w:val="32"/>
          <w:szCs w:val="32"/>
        </w:rPr>
        <w:t xml:space="preserve"> </w:t>
      </w:r>
      <w:r>
        <w:rPr>
          <w:rFonts w:eastAsia="仿宋"/>
          <w:sz w:val="32"/>
          <w:szCs w:val="32"/>
        </w:rPr>
        <w:t xml:space="preserve"> 202</w:t>
      </w:r>
      <w:r>
        <w:rPr>
          <w:rFonts w:hint="eastAsia" w:eastAsia="仿宋"/>
          <w:sz w:val="32"/>
          <w:szCs w:val="32"/>
          <w:lang w:val="en-US" w:eastAsia="zh-CN"/>
        </w:rPr>
        <w:t>3</w:t>
      </w:r>
      <w:r>
        <w:rPr>
          <w:rFonts w:eastAsia="仿宋"/>
          <w:sz w:val="32"/>
          <w:szCs w:val="32"/>
        </w:rPr>
        <w:t>年</w:t>
      </w:r>
      <w:r>
        <w:rPr>
          <w:rFonts w:hint="eastAsia" w:eastAsia="仿宋"/>
          <w:sz w:val="32"/>
          <w:szCs w:val="32"/>
          <w:lang w:val="en-US" w:eastAsia="zh-CN"/>
        </w:rPr>
        <w:t>4</w:t>
      </w:r>
      <w:r>
        <w:rPr>
          <w:rFonts w:eastAsia="仿宋"/>
          <w:sz w:val="32"/>
          <w:szCs w:val="32"/>
        </w:rPr>
        <w:t>月</w:t>
      </w:r>
      <w:r>
        <w:rPr>
          <w:rFonts w:hint="eastAsia" w:eastAsia="仿宋"/>
          <w:sz w:val="32"/>
          <w:szCs w:val="32"/>
          <w:lang w:val="en-US" w:eastAsia="zh-CN"/>
        </w:rPr>
        <w:t>20</w:t>
      </w:r>
      <w:r>
        <w:rPr>
          <w:rFonts w:eastAsia="仿宋"/>
          <w:sz w:val="32"/>
          <w:szCs w:val="32"/>
        </w:rPr>
        <w:t>日</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12</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mMDYwYzNjNzI5ODA4ZmI0NjA1NjA5YTYyZmQ3NTgifQ=="/>
  </w:docVars>
  <w:rsids>
    <w:rsidRoot w:val="00F57F82"/>
    <w:rsid w:val="000101E1"/>
    <w:rsid w:val="00020084"/>
    <w:rsid w:val="00057FFB"/>
    <w:rsid w:val="000732DA"/>
    <w:rsid w:val="00075CDC"/>
    <w:rsid w:val="000B1E8F"/>
    <w:rsid w:val="000E5FBA"/>
    <w:rsid w:val="000F5302"/>
    <w:rsid w:val="00103574"/>
    <w:rsid w:val="00103D16"/>
    <w:rsid w:val="00115B6A"/>
    <w:rsid w:val="00121C7C"/>
    <w:rsid w:val="00164D84"/>
    <w:rsid w:val="001C5A40"/>
    <w:rsid w:val="001D628A"/>
    <w:rsid w:val="001E4260"/>
    <w:rsid w:val="00203D57"/>
    <w:rsid w:val="00250053"/>
    <w:rsid w:val="00287C3C"/>
    <w:rsid w:val="002C6A3B"/>
    <w:rsid w:val="002F629B"/>
    <w:rsid w:val="00332F8B"/>
    <w:rsid w:val="0035287C"/>
    <w:rsid w:val="003829C8"/>
    <w:rsid w:val="0039432D"/>
    <w:rsid w:val="003A26A2"/>
    <w:rsid w:val="003C6374"/>
    <w:rsid w:val="00414ED7"/>
    <w:rsid w:val="00415F7C"/>
    <w:rsid w:val="004220C5"/>
    <w:rsid w:val="004531B5"/>
    <w:rsid w:val="004C1EAA"/>
    <w:rsid w:val="00512544"/>
    <w:rsid w:val="005D07CE"/>
    <w:rsid w:val="005D3818"/>
    <w:rsid w:val="00664719"/>
    <w:rsid w:val="00696090"/>
    <w:rsid w:val="006A453E"/>
    <w:rsid w:val="006B653B"/>
    <w:rsid w:val="006C117B"/>
    <w:rsid w:val="007553C7"/>
    <w:rsid w:val="00785AF7"/>
    <w:rsid w:val="007A1DC2"/>
    <w:rsid w:val="007C119C"/>
    <w:rsid w:val="007D7B7E"/>
    <w:rsid w:val="008271A8"/>
    <w:rsid w:val="00883725"/>
    <w:rsid w:val="00895183"/>
    <w:rsid w:val="008A20F2"/>
    <w:rsid w:val="008B50FA"/>
    <w:rsid w:val="008F74D5"/>
    <w:rsid w:val="009D04D8"/>
    <w:rsid w:val="009F652F"/>
    <w:rsid w:val="00A32FDD"/>
    <w:rsid w:val="00A72CA8"/>
    <w:rsid w:val="00AA2B82"/>
    <w:rsid w:val="00AC315F"/>
    <w:rsid w:val="00BA14B8"/>
    <w:rsid w:val="00BA262C"/>
    <w:rsid w:val="00BA347B"/>
    <w:rsid w:val="00C95A35"/>
    <w:rsid w:val="00CC152C"/>
    <w:rsid w:val="00CD5DD9"/>
    <w:rsid w:val="00CF2199"/>
    <w:rsid w:val="00D63908"/>
    <w:rsid w:val="00DA29F4"/>
    <w:rsid w:val="00DD09A2"/>
    <w:rsid w:val="00DD16E3"/>
    <w:rsid w:val="00DE2F6A"/>
    <w:rsid w:val="00E005A8"/>
    <w:rsid w:val="00E02E05"/>
    <w:rsid w:val="00E54B40"/>
    <w:rsid w:val="00E74336"/>
    <w:rsid w:val="00EC2181"/>
    <w:rsid w:val="00EC34E0"/>
    <w:rsid w:val="00ED6D53"/>
    <w:rsid w:val="00EE6F1A"/>
    <w:rsid w:val="00F10473"/>
    <w:rsid w:val="00F437B4"/>
    <w:rsid w:val="00F57F82"/>
    <w:rsid w:val="00F75963"/>
    <w:rsid w:val="00F81D36"/>
    <w:rsid w:val="00FA357A"/>
    <w:rsid w:val="00FF2111"/>
    <w:rsid w:val="01745D0A"/>
    <w:rsid w:val="01FF3C7D"/>
    <w:rsid w:val="02C86339"/>
    <w:rsid w:val="03623055"/>
    <w:rsid w:val="037D0BC8"/>
    <w:rsid w:val="03CB0C86"/>
    <w:rsid w:val="04613167"/>
    <w:rsid w:val="04673CA2"/>
    <w:rsid w:val="050163A6"/>
    <w:rsid w:val="07E640F0"/>
    <w:rsid w:val="0845082D"/>
    <w:rsid w:val="094115EA"/>
    <w:rsid w:val="096A663E"/>
    <w:rsid w:val="09E965F2"/>
    <w:rsid w:val="0A130CF6"/>
    <w:rsid w:val="0A87714B"/>
    <w:rsid w:val="0AA2532E"/>
    <w:rsid w:val="0CBF575D"/>
    <w:rsid w:val="0D1923E6"/>
    <w:rsid w:val="0D660F6F"/>
    <w:rsid w:val="0ECA2EFA"/>
    <w:rsid w:val="0F9652C0"/>
    <w:rsid w:val="0FB370D5"/>
    <w:rsid w:val="0FD13D36"/>
    <w:rsid w:val="0FEA60B6"/>
    <w:rsid w:val="0FF9216A"/>
    <w:rsid w:val="10426B40"/>
    <w:rsid w:val="10DB57E4"/>
    <w:rsid w:val="113118BF"/>
    <w:rsid w:val="11D7196B"/>
    <w:rsid w:val="130E2450"/>
    <w:rsid w:val="13141499"/>
    <w:rsid w:val="13511532"/>
    <w:rsid w:val="139840D3"/>
    <w:rsid w:val="143E091F"/>
    <w:rsid w:val="14865FC8"/>
    <w:rsid w:val="150C2DB0"/>
    <w:rsid w:val="154928C9"/>
    <w:rsid w:val="15DB39EC"/>
    <w:rsid w:val="17C34C75"/>
    <w:rsid w:val="17F906DA"/>
    <w:rsid w:val="1B515EE3"/>
    <w:rsid w:val="1BB80B76"/>
    <w:rsid w:val="1C125FA5"/>
    <w:rsid w:val="1C893E9E"/>
    <w:rsid w:val="1CE94882"/>
    <w:rsid w:val="1D316A2E"/>
    <w:rsid w:val="1D436783"/>
    <w:rsid w:val="1E3F631C"/>
    <w:rsid w:val="1E761F05"/>
    <w:rsid w:val="1EB85DB8"/>
    <w:rsid w:val="1F7F7BAF"/>
    <w:rsid w:val="1FC7205C"/>
    <w:rsid w:val="20522F58"/>
    <w:rsid w:val="211537CA"/>
    <w:rsid w:val="21167BF2"/>
    <w:rsid w:val="21632834"/>
    <w:rsid w:val="219D6ED7"/>
    <w:rsid w:val="21EB43A1"/>
    <w:rsid w:val="226263B1"/>
    <w:rsid w:val="228B3D05"/>
    <w:rsid w:val="24822003"/>
    <w:rsid w:val="24E4263B"/>
    <w:rsid w:val="27125C45"/>
    <w:rsid w:val="276E7926"/>
    <w:rsid w:val="27AB4F08"/>
    <w:rsid w:val="286D5E37"/>
    <w:rsid w:val="28981D0D"/>
    <w:rsid w:val="2AC72633"/>
    <w:rsid w:val="2BB703D7"/>
    <w:rsid w:val="2C11353F"/>
    <w:rsid w:val="2D3025F2"/>
    <w:rsid w:val="2DF34CC0"/>
    <w:rsid w:val="2F794830"/>
    <w:rsid w:val="3381719A"/>
    <w:rsid w:val="34AE5749"/>
    <w:rsid w:val="34F76B0D"/>
    <w:rsid w:val="35EE40A0"/>
    <w:rsid w:val="36706CCC"/>
    <w:rsid w:val="36873BAC"/>
    <w:rsid w:val="37C877E9"/>
    <w:rsid w:val="37D73658"/>
    <w:rsid w:val="38EF7AD8"/>
    <w:rsid w:val="391179DE"/>
    <w:rsid w:val="391752D6"/>
    <w:rsid w:val="3ABA294C"/>
    <w:rsid w:val="3AC26D8D"/>
    <w:rsid w:val="3AD60F72"/>
    <w:rsid w:val="3BF177F6"/>
    <w:rsid w:val="3CA70864"/>
    <w:rsid w:val="3DD6679A"/>
    <w:rsid w:val="3E1672E6"/>
    <w:rsid w:val="3E1F211D"/>
    <w:rsid w:val="3E5533F0"/>
    <w:rsid w:val="3EB77C2B"/>
    <w:rsid w:val="3EE947C1"/>
    <w:rsid w:val="40453787"/>
    <w:rsid w:val="415F08D8"/>
    <w:rsid w:val="433B52D2"/>
    <w:rsid w:val="434010BE"/>
    <w:rsid w:val="43512B3E"/>
    <w:rsid w:val="43E2616B"/>
    <w:rsid w:val="44020591"/>
    <w:rsid w:val="4404698F"/>
    <w:rsid w:val="44A95196"/>
    <w:rsid w:val="44D51F86"/>
    <w:rsid w:val="44DC6F9E"/>
    <w:rsid w:val="44E2230F"/>
    <w:rsid w:val="44FA5404"/>
    <w:rsid w:val="4549266A"/>
    <w:rsid w:val="45DD6BEA"/>
    <w:rsid w:val="461B3DFB"/>
    <w:rsid w:val="463449F1"/>
    <w:rsid w:val="46E206AE"/>
    <w:rsid w:val="46F9107C"/>
    <w:rsid w:val="47A12944"/>
    <w:rsid w:val="48724017"/>
    <w:rsid w:val="488641E0"/>
    <w:rsid w:val="48A81481"/>
    <w:rsid w:val="48B51347"/>
    <w:rsid w:val="4A55216A"/>
    <w:rsid w:val="4AA8027E"/>
    <w:rsid w:val="4AAE000A"/>
    <w:rsid w:val="4D43140C"/>
    <w:rsid w:val="4D4F4973"/>
    <w:rsid w:val="4F7E7282"/>
    <w:rsid w:val="4FE0696A"/>
    <w:rsid w:val="505A5310"/>
    <w:rsid w:val="51FD19E1"/>
    <w:rsid w:val="52C0009F"/>
    <w:rsid w:val="537A2BFE"/>
    <w:rsid w:val="53933B5B"/>
    <w:rsid w:val="5408455A"/>
    <w:rsid w:val="54B70621"/>
    <w:rsid w:val="555808E9"/>
    <w:rsid w:val="55673508"/>
    <w:rsid w:val="55D05801"/>
    <w:rsid w:val="56725657"/>
    <w:rsid w:val="572B5492"/>
    <w:rsid w:val="58195F6E"/>
    <w:rsid w:val="58587667"/>
    <w:rsid w:val="59595A6F"/>
    <w:rsid w:val="599330CA"/>
    <w:rsid w:val="5A3A2B60"/>
    <w:rsid w:val="5A4C3EF6"/>
    <w:rsid w:val="5B0D23FC"/>
    <w:rsid w:val="5BB856CC"/>
    <w:rsid w:val="5D444098"/>
    <w:rsid w:val="5DB076C2"/>
    <w:rsid w:val="5E367F56"/>
    <w:rsid w:val="5EE51B13"/>
    <w:rsid w:val="5F4015DE"/>
    <w:rsid w:val="608D4B02"/>
    <w:rsid w:val="60D5009F"/>
    <w:rsid w:val="63DF1591"/>
    <w:rsid w:val="65D630D8"/>
    <w:rsid w:val="660721C9"/>
    <w:rsid w:val="661E6C75"/>
    <w:rsid w:val="66231D0E"/>
    <w:rsid w:val="67F75FF5"/>
    <w:rsid w:val="681D4831"/>
    <w:rsid w:val="692E4B19"/>
    <w:rsid w:val="69513EF7"/>
    <w:rsid w:val="69BE2A6F"/>
    <w:rsid w:val="69EC374B"/>
    <w:rsid w:val="6BF3256F"/>
    <w:rsid w:val="6CE7018A"/>
    <w:rsid w:val="6DC47D48"/>
    <w:rsid w:val="6E3E3F2D"/>
    <w:rsid w:val="715B2F02"/>
    <w:rsid w:val="7281713A"/>
    <w:rsid w:val="74292DBE"/>
    <w:rsid w:val="76436B85"/>
    <w:rsid w:val="76834D9A"/>
    <w:rsid w:val="76A548F2"/>
    <w:rsid w:val="7765772E"/>
    <w:rsid w:val="77867685"/>
    <w:rsid w:val="77F04540"/>
    <w:rsid w:val="781F36B6"/>
    <w:rsid w:val="790627AD"/>
    <w:rsid w:val="7A5069D3"/>
    <w:rsid w:val="7A70083D"/>
    <w:rsid w:val="7ADC59FA"/>
    <w:rsid w:val="7BB3305E"/>
    <w:rsid w:val="7BDC27DF"/>
    <w:rsid w:val="7C0D7572"/>
    <w:rsid w:val="7D156A68"/>
    <w:rsid w:val="7DDD794F"/>
    <w:rsid w:val="7E316F0A"/>
    <w:rsid w:val="7ED54CA7"/>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5"/>
    <w:basedOn w:val="1"/>
    <w:next w:val="1"/>
    <w:qFormat/>
    <w:uiPriority w:val="0"/>
    <w:pPr>
      <w:keepNext/>
      <w:outlineLvl w:val="4"/>
    </w:pPr>
    <w:rPr>
      <w:rFonts w:ascii="宋体" w:hAnsi="宋体" w:cs="宋体"/>
      <w:b/>
      <w:bCs/>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4">
    <w:name w:val="Balloon Text"/>
    <w:basedOn w:val="1"/>
    <w:link w:val="14"/>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styleId="11">
    <w:name w:val="page number"/>
    <w:basedOn w:val="10"/>
    <w:qFormat/>
    <w:uiPriority w:val="0"/>
  </w:style>
  <w:style w:type="character" w:customStyle="1" w:styleId="12">
    <w:name w:val="页脚 字符"/>
    <w:basedOn w:val="10"/>
    <w:link w:val="5"/>
    <w:qFormat/>
    <w:uiPriority w:val="99"/>
    <w:rPr>
      <w:rFonts w:eastAsia="仿宋_GB2312"/>
      <w:kern w:val="2"/>
      <w:sz w:val="18"/>
      <w:szCs w:val="18"/>
    </w:rPr>
  </w:style>
  <w:style w:type="character" w:customStyle="1" w:styleId="13">
    <w:name w:val="页眉 字符"/>
    <w:basedOn w:val="10"/>
    <w:link w:val="6"/>
    <w:qFormat/>
    <w:uiPriority w:val="0"/>
    <w:rPr>
      <w:rFonts w:eastAsia="仿宋_GB2312"/>
      <w:kern w:val="2"/>
      <w:sz w:val="18"/>
      <w:szCs w:val="18"/>
    </w:rPr>
  </w:style>
  <w:style w:type="character" w:customStyle="1" w:styleId="14">
    <w:name w:val="批注框文本 字符"/>
    <w:basedOn w:val="10"/>
    <w:link w:val="4"/>
    <w:qFormat/>
    <w:uiPriority w:val="0"/>
    <w:rPr>
      <w:rFonts w:eastAsia="仿宋_GB2312"/>
      <w:kern w:val="2"/>
      <w:sz w:val="18"/>
      <w:szCs w:val="18"/>
    </w:rPr>
  </w:style>
  <w:style w:type="paragraph" w:styleId="15">
    <w:name w:val="List Paragraph"/>
    <w:basedOn w:val="1"/>
    <w:qFormat/>
    <w:uiPriority w:val="99"/>
    <w:pPr>
      <w:ind w:firstLine="420" w:firstLineChars="200"/>
    </w:pPr>
  </w:style>
  <w:style w:type="character" w:customStyle="1" w:styleId="16">
    <w:name w:val="font31"/>
    <w:basedOn w:val="10"/>
    <w:qFormat/>
    <w:uiPriority w:val="0"/>
    <w:rPr>
      <w:rFonts w:ascii="Wingdings" w:hAnsi="Wingdings" w:cs="Wingdings"/>
      <w:color w:val="000000"/>
      <w:sz w:val="20"/>
      <w:szCs w:val="20"/>
      <w:u w:val="none"/>
    </w:rPr>
  </w:style>
  <w:style w:type="character" w:customStyle="1" w:styleId="17">
    <w:name w:val="font21"/>
    <w:basedOn w:val="10"/>
    <w:qFormat/>
    <w:uiPriority w:val="0"/>
    <w:rPr>
      <w:rFonts w:hint="eastAsia" w:ascii="仿宋" w:hAnsi="仿宋" w:eastAsia="仿宋" w:cs="仿宋"/>
      <w:color w:val="000000"/>
      <w:sz w:val="20"/>
      <w:szCs w:val="20"/>
      <w:u w:val="none"/>
    </w:rPr>
  </w:style>
  <w:style w:type="character" w:customStyle="1" w:styleId="18">
    <w:name w:val="font51"/>
    <w:basedOn w:val="10"/>
    <w:qFormat/>
    <w:uiPriority w:val="0"/>
    <w:rPr>
      <w:rFonts w:hint="eastAsia" w:ascii="仿宋" w:hAnsi="仿宋" w:eastAsia="仿宋" w:cs="仿宋"/>
      <w:color w:val="FF0000"/>
      <w:sz w:val="20"/>
      <w:szCs w:val="20"/>
      <w:u w:val="none"/>
    </w:rPr>
  </w:style>
  <w:style w:type="character" w:customStyle="1" w:styleId="19">
    <w:name w:val="font91"/>
    <w:basedOn w:val="10"/>
    <w:qFormat/>
    <w:uiPriority w:val="0"/>
    <w:rPr>
      <w:rFonts w:ascii="Wingdings" w:hAnsi="Wingdings" w:cs="Wingdings"/>
      <w:color w:val="000000"/>
      <w:sz w:val="20"/>
      <w:szCs w:val="20"/>
      <w:u w:val="none"/>
    </w:rPr>
  </w:style>
  <w:style w:type="character" w:customStyle="1" w:styleId="20">
    <w:name w:val="font101"/>
    <w:basedOn w:val="10"/>
    <w:qFormat/>
    <w:uiPriority w:val="0"/>
    <w:rPr>
      <w:rFonts w:hint="eastAsia" w:ascii="仿宋" w:hAnsi="仿宋" w:eastAsia="仿宋" w:cs="仿宋"/>
      <w:color w:val="000000"/>
      <w:sz w:val="20"/>
      <w:szCs w:val="20"/>
      <w:u w:val="none"/>
    </w:rPr>
  </w:style>
  <w:style w:type="character" w:customStyle="1" w:styleId="21">
    <w:name w:val="font71"/>
    <w:basedOn w:val="10"/>
    <w:qFormat/>
    <w:uiPriority w:val="0"/>
    <w:rPr>
      <w:rFonts w:hint="eastAsia" w:ascii="仿宋" w:hAnsi="仿宋" w:eastAsia="仿宋" w:cs="仿宋"/>
      <w:color w:val="000000"/>
      <w:sz w:val="20"/>
      <w:szCs w:val="20"/>
      <w:u w:val="none"/>
    </w:rPr>
  </w:style>
  <w:style w:type="character" w:customStyle="1" w:styleId="22">
    <w:name w:val="font11"/>
    <w:basedOn w:val="10"/>
    <w:qFormat/>
    <w:uiPriority w:val="0"/>
    <w:rPr>
      <w:rFonts w:hint="eastAsia" w:ascii="仿宋" w:hAnsi="仿宋" w:eastAsia="仿宋" w:cs="仿宋"/>
      <w:color w:val="000000"/>
      <w:sz w:val="20"/>
      <w:szCs w:val="20"/>
      <w:u w:val="none"/>
    </w:rPr>
  </w:style>
  <w:style w:type="character" w:customStyle="1" w:styleId="23">
    <w:name w:val="font61"/>
    <w:basedOn w:val="10"/>
    <w:qFormat/>
    <w:uiPriority w:val="0"/>
    <w:rPr>
      <w:rFonts w:hint="eastAsia" w:ascii="仿宋" w:hAnsi="仿宋" w:eastAsia="仿宋" w:cs="仿宋"/>
      <w:color w:val="000000"/>
      <w:sz w:val="20"/>
      <w:szCs w:val="20"/>
      <w:u w:val="none"/>
    </w:rPr>
  </w:style>
  <w:style w:type="character" w:customStyle="1" w:styleId="24">
    <w:name w:val="font112"/>
    <w:basedOn w:val="10"/>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4234</Words>
  <Characters>4620</Characters>
  <Lines>6</Lines>
  <Paragraphs>10</Paragraphs>
  <TotalTime>6</TotalTime>
  <ScaleCrop>false</ScaleCrop>
  <LinksUpToDate>false</LinksUpToDate>
  <CharactersWithSpaces>4883</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2021-02-26T14:13:00Z</dcterms:created>
  <dc:creator>lhn</dc:creator>
  <cp:lastModifiedBy>长了毛的面包</cp:lastModifiedBy>
  <cp:lastPrinted>2020-12-04T01:52:00Z</cp:lastPrinted>
  <dcterms:modified xsi:type="dcterms:W3CDTF">2023-04-26T07:20:43Z</dcterms:modified>
  <dc:title>财政支出绩效评价报告</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A1C6F6DCA77E46D4BF05062161E5DD11</vt:lpwstr>
  </property>
</Properties>
</file>